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Важные замечания для обеспечения хирургического и анестезиологического пособий.</w:t>
      </w: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При  обеспечении общего обезболивания пациенту с мышечной дистрофией Дюшенна (МДД) необходимо отдельно рассмотреть ряд вопросов.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Если это возможно, обратитесь в медицинский центр с опытом анестезиологического обеспечения пациентов с миопатией Дюшенна.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Необходимы диагностика и соответствующее лечение сердечных и респираторных патологий до хирургического вмешательства с использованием общего наркоза.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Обязательно поставьте анестезиолога в известность о наличии у вас/вашего ребенка мышечной дистрофии.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Обсудите план ведения анестезии с анестезиологом перед любой операцией/процедурой, требующей обезболивания.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Пациенты с миопатией Дюшенна ни в коем случае НЕ ДОЛЖНЫ получать сукцинилхолин.</w:t>
        <w:br/>
        <w:t xml:space="preserve"/>
        <w:tab/>
        <w:t xml:space="preserve">Сукцинилхолин иногда используется в экстренных ситуациях при затруднении дыхания у пациентов, находящихся под наркозом, но при введении пациентам с любой формой мышечной атрофии, вне зависимости от вызвавшей её причины, сукцинилхолин может привести к серьезному, опасному для жизни (а иногда фатальному) повышению уровня калия крови. 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При возможности следует избегать ингаляционной анестезии.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У пациентов с миопатией Дюшенна существует риск развития </w:t>
      </w:r>
      <w:r>
        <w:rPr>
          <w:rFonts w:ascii="Times New Roman" w:hAnsi="Times New Roman" w:cs="Times New Roman"/>
          <w:sz w:val="24"/>
          <w:sz-cs w:val="24"/>
          <w:b/>
        </w:rPr>
        <w:t xml:space="preserve">рабдомиолиза</w:t>
      </w:r>
      <w:r>
        <w:rPr>
          <w:rFonts w:ascii="Times New Roman" w:hAnsi="Times New Roman" w:cs="Times New Roman"/>
          <w:sz w:val="24"/>
          <w:sz-cs w:val="24"/>
        </w:rPr>
        <w:t xml:space="preserve"> -  распада скелетной мышечной ткани, который может вызвать высвобождение миоглобина, повреждающего почки, и повышение уровня калия крови, что может привести к опасным для жизни нарушениям ритма сердца.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</w:rPr>
        <w:t xml:space="preserve">Рабдомиолиз</w:t>
      </w:r>
      <w:r>
        <w:rPr>
          <w:rFonts w:ascii="Times New Roman" w:hAnsi="Times New Roman" w:cs="Times New Roman"/>
          <w:sz w:val="24"/>
          <w:sz-cs w:val="24"/>
        </w:rPr>
        <w:t xml:space="preserve"> ассоциируют с использованием ингаляционной анестезии (кроме закиси азота, являющейся безопасной), но не с внутривенным обезболиванием.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Внимательно изучите рекомендации по использованию безопасных и небезопасных средств для наркоза для людей с МДД (список представлен ниже).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i/>
        </w:rPr>
        <w:t xml:space="preserve">Необходим постоянный контроль состояния пациента при получении любого вида обезболивания.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Безопасные и небезопасные средства для наркоза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Эти рекомендации были рассмотрены и одобрены Профессиональным консультативным советом Ассоциации по изучению злокачественной гипертермии США (MHAUS). Обсудите риски и преимущества, связанные с использованием анестезиологических препаратов с вашим анестезиологом.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НИКОГДА НЕ ИСПОЛЬЗУЙТЕ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/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Деполяризующие миорелаксанты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Сукцинилхолин (Суксаметоний)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Люди с миопатией Дюшенна не должны получать сукцинилхолин! Сукцинилхолин иногда используется в экстренных ситуациях при затруднении дыхания у пациентов, находящихся под наркозом, но при введении пациентам с любой формой мышечной атрофии, вне зависимости от вызвавшей её причины, сукцинилхолин может привести к серьезному, опасному для жизни (а иногда фатальному) повышению уровня калия крови.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Для замены сукцинилхолина существует ряд других общедоступных миорелаксантов (например, любой из периферических миорелаксантов недеполяризующего действия), которые могут при необходимости быть использованы в экстренных ситуациях (см. "Безопасный"  - клик, чтобы прокрутить на список ниже). Тем не менее, в редких случаях возможна ситуация (например, угрожающая жизни обструкция дыхательных путей, требующая немедленного лечения), когда может быть оправдано применение сукцинилхолина у пациента с миодистрофией Дюшенна, жизнь которого находится в опасности.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ПО ВОЗМОЖНОСТИ ИЗБЕГАЙТЕ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/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Ингаляционные анестетики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Десфлюран, энфлюран, галотан, изофлуран, севофлюран.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У пациентов с миопатией Дюшенна существует риск развития рабдомиолиза (распада скелетной мышечной ткани, который может вызвать высвобождение миоглобина, повреждающего почки) и гиперкалиемии (высвобождения слишком большого количества калия в кровь), что может привести к опасным для жизни нарушениям ритма сердца. Известны случаи существенного (а порой и фатального) разрушения мышц (рабдомиолиза) у пациентов с МДД при применении средств для ингаляционного наркоза, даже когда сукцинилхолин не использовался.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Поэтому рекомендовано, избегать ингаляционной анестезии или использовать с осторожностью у людей с МДД (если только преимущество от их использования не перевешивает анестезиологический риск в определенных обстоятельствах).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>Использование ингаляционных анестетиков может быть оправданным в следующих ситуациях: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До установки внутривенного катетера для обезболивания: установка внутривенного катетера может быть болезненной, а у пациентов со сниженной мышечной массой иногда трудно найти подходящие вены.</w:t>
      </w:r>
    </w:p>
    <w:p>
      <w:pPr>
        <w:jc w:val="both"/>
        <w:ind w:left="720"/>
      </w:pPr>
      <w:r>
        <w:rPr>
          <w:rFonts w:ascii="Times New Roman" w:hAnsi="Times New Roman" w:cs="Times New Roman"/>
          <w:sz w:val="24"/>
          <w:sz-cs w:val="24"/>
        </w:rPr>
        <w:t xml:space="preserve"/>
        <w:tab/>
        <w:t xml:space="preserve">•</w:t>
        <w:tab/>
        <w:t xml:space="preserve">Обезболивание при внутривенном введении пропофола: введение внутривенного анестетика, пропофола, в вену пациента достаточно болезненно.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В редких ситуациях, когда внутривенная анестезия недоступна, или же ингаляционная анестезия считается более предпочтительной, на основании данных конкретной клинической ситуации.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  <w:u w:val="single"/>
        </w:rPr>
        <w:t xml:space="preserve">БЕЗОПАСНО ИСПОЛЬЗОВАТЬ (список) 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Барбитураты/небарбитуровые препараты для неингаляционного наркоза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Диазепам (валиум), этомидат (раденаркон), кетамин (калипсол), метогекситал (бревитал), мидазолам (дормикум), пропофол (диприван), тиопентал натрия (пентотал).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Газообразные препараты для ингаляционного наркоза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Закись азота (NO</w:t>
      </w:r>
      <w:r>
        <w:rPr>
          <w:rFonts w:ascii="Times New Roman" w:hAnsi="Times New Roman" w:cs="Times New Roman"/>
          <w:sz w:val="24"/>
          <w:sz-cs w:val="24"/>
          <w:vertAlign w:val="subscript"/>
        </w:rPr>
        <w:t xml:space="preserve">2</w:t>
      </w:r>
      <w:r>
        <w:rPr>
          <w:rFonts w:ascii="Times New Roman" w:hAnsi="Times New Roman" w:cs="Times New Roman"/>
          <w:sz w:val="24"/>
          <w:sz-cs w:val="24"/>
        </w:rPr>
        <w:t xml:space="preserve">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Местные анестетики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Артикаин, бупивакаин, этидокаин, лидокаин, левобупивакаин, карбокаин, прокаин (новокаин), прилокаин, ропивакаин, бензокаин (c осторожностью – в связи с риском метгемоглобинемии).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Наркотические анальгетики (опиоидные препараты)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Алфентанил (рапифен), кодеин (метилморфин), фентанил, гидроморфон, меперидин (демерол), метадон, морфин, налоксон, оксикодон, ремифентанил, суфентанил.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Миорелаксанты</w:t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Ардуан (пипекуроний), кураре (действующее вещество d-тубокурарин), метокурин, мивакрон (мивакурий), доксакурий, Нимбекс (цисатракурий, Норкурон (векуроний), Павулон (панкуроний), Тракриум (атракурий), Эсмерон (рокуроний).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Противоэпилептические средства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Габапентин (Нейронтин), топирамат (Топамакс)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Анксиолитики</w:t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Лорам (лоразепам), флуразепам, триазолам, Клонопин (клоназепам), Либриум (хлордиазепоксид), мидазолам (дормикум), гидазепам, темазепам, Нозепам (оксазепам), Транксен (клоразепат) , диазепам (Седуксен, Реланиум)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  <w:br/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Стоматологические вмешательства.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Стоматологические вмешательства в целом могут и должны быть выполнены с минимально возможным количеством анестезии, при этом с обеспечением максимально физического и эмоционального комфорта пациента.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Местные анестетики, закись азота и медицинский кислород безопасны для большинства пациентов с миопатией Дюшенна. Особенно для пациентов, находящихся на амбулаторном лечении с ненарушенной функцией легких (при нормальной функции внешнего дыхания).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Пациентам с МДД и легочной дисфункцией (аномальное дыхание) следует рассмотреть возможность получения стоматологической помощи c участием анестезиолога и применением общего наркоза в стационаре, оборудованном для интраоперационного мониторирования дыхательной функции и обладающем возможностью предоставления экстренной помощи при возникновении сердечных или легочных осложнений.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Перевод и адаптация статьи «МойМио» Фонд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Источник http://www.parentprojectmd.org/site/PageServer?pagename=Care_surgery</w:t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Ayre</dc:creator>
</cp:coreProperties>
</file>

<file path=docProps/meta.xml><?xml version="1.0" encoding="utf-8"?>
<meta xmlns="http://schemas.apple.com/cocoa/2006/metadata">
  <generator>CocoaOOXMLWriter/1265.21</generator>
</meta>
</file>