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New Roman" w:hAnsi="Times New Roman" w:cs="Times New Roman"/>
          <w:sz w:val="24"/>
          <w:sz-cs w:val="24"/>
          <w:b/>
        </w:rPr>
        <w:t xml:space="preserve">Аспекты неотложной помощи.</w:t>
      </w:r>
    </w:p>
    <w:p>
      <w:pPr>
        <w:jc w:val="both"/>
      </w:pPr>
      <w:r>
        <w:rPr>
          <w:rFonts w:ascii="Times New Roman" w:hAnsi="Times New Roman" w:cs="Times New Roman"/>
          <w:sz w:val="24"/>
          <w:sz-cs w:val="24"/>
        </w:rPr>
        <w:t xml:space="preserve">Если ваш ребенок внезапно заболел или получил травму, очень важно, чтобы у вас с собой была следующая информация, с которой необходимо ознакомиться врачам, медицинским сестрам и администрации больницы.</w:t>
      </w:r>
    </w:p>
    <w:p>
      <w:pPr>
        <w:jc w:val="both"/>
      </w:pPr>
      <w:r>
        <w:rPr>
          <w:rFonts w:ascii="Times New Roman" w:hAnsi="Times New Roman" w:cs="Times New Roman"/>
          <w:sz w:val="24"/>
          <w:sz-cs w:val="24"/>
        </w:rPr>
        <w:t xml:space="preserve">Информационная карточка – это главная, краткая и важная информация для понимания особенности вашего ребенка. Распечатайте её и носите с собой в бумажнике. Ссылка для скачивания (файл для скачивания пришлю в бл.время)</w:t>
      </w:r>
    </w:p>
    <w:p>
      <w:pPr>
        <w:jc w:val="center"/>
      </w:pPr>
      <w:r>
        <w:rPr>
          <w:rFonts w:ascii="Times New Roman" w:hAnsi="Times New Roman" w:cs="Times New Roman"/>
          <w:sz w:val="24"/>
          <w:sz-cs w:val="24"/>
          <w:b/>
        </w:rPr>
        <w:t xml:space="preserve">Общие рекомендации.</w:t>
      </w:r>
    </w:p>
    <w:p>
      <w:pPr>
        <w:jc w:val="both"/>
      </w:pPr>
      <w:r>
        <w:rPr>
          <w:rFonts w:ascii="Times New Roman" w:hAnsi="Times New Roman" w:cs="Times New Roman"/>
          <w:sz w:val="24"/>
          <w:sz-cs w:val="24"/>
        </w:rPr>
        <w:t xml:space="preserve">Следите за своевременностью прививок своего ребенка.</w:t>
      </w:r>
    </w:p>
    <w:p>
      <w:pPr>
        <w:jc w:val="both"/>
      </w:pPr>
      <w:r>
        <w:rPr>
          <w:rFonts w:ascii="Times New Roman" w:hAnsi="Times New Roman" w:cs="Times New Roman"/>
          <w:sz w:val="24"/>
          <w:sz-cs w:val="24"/>
        </w:rPr>
        <w:t xml:space="preserve">Не допускайте использования живых вакцин, если ваш ребенок принимает кортикостероиды.</w:t>
      </w:r>
    </w:p>
    <w:p>
      <w:pPr>
        <w:jc w:val="both"/>
      </w:pPr>
      <w:r>
        <w:rPr>
          <w:rFonts w:ascii="Times New Roman" w:hAnsi="Times New Roman" w:cs="Times New Roman"/>
          <w:sz w:val="24"/>
          <w:sz-cs w:val="24"/>
        </w:rPr>
        <w:t xml:space="preserve">Всегда пристегивайте ремень безопасности в машине и кресле-каталке.</w:t>
      </w:r>
    </w:p>
    <w:p>
      <w:pPr>
        <w:jc w:val="center"/>
      </w:pPr>
      <w:r>
        <w:rPr>
          <w:rFonts w:ascii="Times New Roman" w:hAnsi="Times New Roman" w:cs="Times New Roman"/>
          <w:sz w:val="24"/>
          <w:sz-cs w:val="24"/>
          <w:b/>
        </w:rPr>
        <w:t xml:space="preserve">Предосторожности, связанные с использованием анестезии.</w:t>
      </w:r>
    </w:p>
    <w:p>
      <w:pPr>
        <w:jc w:val="both"/>
        <w:ind w:left="720"/>
      </w:pPr>
      <w:r>
        <w:rPr>
          <w:rFonts w:ascii="Times New Roman" w:hAnsi="Times New Roman" w:cs="Times New Roman"/>
          <w:sz w:val="24"/>
          <w:sz-cs w:val="24"/>
        </w:rPr>
        <w:t xml:space="preserve"/>
        <w:tab/>
        <w:t xml:space="preserve">•</w:t>
        <w:tab/>
        <w:t xml:space="preserve">Пациенты с миопатией Дюшенна ни в коем случае не должны получать сукцинилхолин.</w:t>
      </w:r>
    </w:p>
    <w:p>
      <w:pPr>
        <w:jc w:val="both"/>
        <w:ind w:left="720"/>
      </w:pPr>
      <w:r>
        <w:rPr>
          <w:rFonts w:ascii="Times New Roman" w:hAnsi="Times New Roman" w:cs="Times New Roman"/>
          <w:sz w:val="24"/>
          <w:sz-cs w:val="24"/>
        </w:rPr>
        <w:t xml:space="preserve"/>
        <w:tab/>
        <w:t xml:space="preserve">•</w:t>
        <w:tab/>
        <w:t xml:space="preserve">Неингаляционный наркоз считается безопасным.</w:t>
      </w:r>
    </w:p>
    <w:p>
      <w:pPr>
        <w:jc w:val="both"/>
        <w:ind w:left="720"/>
      </w:pPr>
      <w:r>
        <w:rPr>
          <w:rFonts w:ascii="Times New Roman" w:hAnsi="Times New Roman" w:cs="Times New Roman"/>
          <w:sz w:val="24"/>
          <w:sz-cs w:val="24"/>
        </w:rPr>
        <w:t xml:space="preserve"/>
        <w:tab/>
        <w:t xml:space="preserve">•</w:t>
        <w:tab/>
        <w:t xml:space="preserve">Если это возможно, избегайте применения ингаляционного наркоза, кроме закиси азота.</w:t>
      </w:r>
    </w:p>
    <w:p>
      <w:pPr>
        <w:jc w:val="both"/>
        <w:ind w:left="720"/>
      </w:pPr>
      <w:r>
        <w:rPr>
          <w:rFonts w:ascii="Times New Roman" w:hAnsi="Times New Roman" w:cs="Times New Roman"/>
          <w:sz w:val="24"/>
          <w:sz-cs w:val="24"/>
        </w:rPr>
        <w:t xml:space="preserve"/>
        <w:tab/>
        <w:t xml:space="preserve">•</w:t>
        <w:tab/>
        <w:t xml:space="preserve">Местные анестетики и закись азота безопасны для использования при выполнении небольших стоматологических вмешательств.</w:t>
      </w:r>
    </w:p>
    <w:p>
      <w:pPr>
        <w:jc w:val="both"/>
      </w:pPr>
      <w:r>
        <w:rPr>
          <w:rFonts w:ascii="Times New Roman" w:hAnsi="Times New Roman" w:cs="Times New Roman"/>
          <w:sz w:val="24"/>
          <w:sz-cs w:val="24"/>
        </w:rPr>
        <w:t xml:space="preserve">Ознакомьтесь с полным перечнем безопасных и опасных анестетиков.</w:t>
      </w:r>
    </w:p>
    <w:p>
      <w:pPr>
        <w:jc w:val="center"/>
      </w:pPr>
      <w:r>
        <w:rPr>
          <w:rFonts w:ascii="Times New Roman" w:hAnsi="Times New Roman" w:cs="Times New Roman"/>
          <w:sz w:val="24"/>
          <w:sz-cs w:val="24"/>
          <w:b/>
        </w:rPr>
        <w:t xml:space="preserve">Система дыхания и использование кислорода.</w:t>
      </w:r>
    </w:p>
    <w:p>
      <w:pPr>
        <w:jc w:val="both"/>
      </w:pPr>
      <w:r>
        <w:rPr>
          <w:rFonts w:ascii="Times New Roman" w:hAnsi="Times New Roman" w:cs="Times New Roman"/>
          <w:sz w:val="24"/>
          <w:sz-cs w:val="24"/>
        </w:rPr>
        <w:t xml:space="preserve">Риск дыхательной недостаточности:</w:t>
      </w:r>
    </w:p>
    <w:p>
      <w:pPr>
        <w:jc w:val="both"/>
        <w:ind w:left="720"/>
      </w:pPr>
      <w:r>
        <w:rPr>
          <w:rFonts w:ascii="Times New Roman" w:hAnsi="Times New Roman" w:cs="Times New Roman"/>
          <w:sz w:val="24"/>
          <w:sz-cs w:val="24"/>
        </w:rPr>
        <w:t xml:space="preserve"/>
        <w:tab/>
        <w:t xml:space="preserve">•</w:t>
        <w:tab/>
        <w:t xml:space="preserve">Не используйте кислород, предварительно не проверив уровень СО</w:t>
      </w:r>
      <w:r>
        <w:rPr>
          <w:rFonts w:ascii="Times New Roman" w:hAnsi="Times New Roman" w:cs="Times New Roman"/>
          <w:sz w:val="24"/>
          <w:sz-cs w:val="24"/>
          <w:vertAlign w:val="subscript"/>
        </w:rPr>
        <w:t xml:space="preserve">2</w:t>
      </w:r>
      <w:r>
        <w:rPr>
          <w:rFonts w:ascii="Times New Roman" w:hAnsi="Times New Roman" w:cs="Times New Roman"/>
          <w:sz w:val="24"/>
          <w:sz-cs w:val="24"/>
        </w:rPr>
        <w:t xml:space="preserve"> в выдыхаемом воздухе или крови. Низкая насыщенность гемоглобина может свидетельствовать о задержке выведения СО</w:t>
      </w:r>
      <w:r>
        <w:rPr>
          <w:rFonts w:ascii="Times New Roman" w:hAnsi="Times New Roman" w:cs="Times New Roman"/>
          <w:sz w:val="24"/>
          <w:sz-cs w:val="24"/>
          <w:vertAlign w:val="subscript"/>
        </w:rPr>
        <w:t xml:space="preserve">2</w:t>
      </w:r>
      <w:r>
        <w:rPr>
          <w:rFonts w:ascii="Times New Roman" w:hAnsi="Times New Roman" w:cs="Times New Roman"/>
          <w:sz w:val="24"/>
          <w:sz-cs w:val="24"/>
        </w:rPr>
        <w:t xml:space="preserve"> и необходимости дыхания под положительным давлением.</w:t>
      </w:r>
    </w:p>
    <w:p>
      <w:pPr>
        <w:jc w:val="both"/>
        <w:ind w:left="720"/>
      </w:pPr>
      <w:r>
        <w:rPr>
          <w:rFonts w:ascii="Times New Roman" w:hAnsi="Times New Roman" w:cs="Times New Roman"/>
          <w:sz w:val="24"/>
          <w:sz-cs w:val="24"/>
        </w:rPr>
        <w:t xml:space="preserve"/>
        <w:tab/>
        <w:t xml:space="preserve">•</w:t>
        <w:tab/>
        <w:t xml:space="preserve">При дополнительном использовании кислорода, пожалуйста, следите за уровнем СО</w:t>
      </w:r>
      <w:r>
        <w:rPr>
          <w:rFonts w:ascii="Times New Roman" w:hAnsi="Times New Roman" w:cs="Times New Roman"/>
          <w:sz w:val="24"/>
          <w:sz-cs w:val="24"/>
          <w:vertAlign w:val="subscript"/>
        </w:rPr>
        <w:t xml:space="preserve">2</w:t>
      </w:r>
      <w:r>
        <w:rPr>
          <w:rFonts w:ascii="Times New Roman" w:hAnsi="Times New Roman" w:cs="Times New Roman"/>
          <w:sz w:val="24"/>
          <w:sz-cs w:val="24"/>
        </w:rPr>
        <w:t xml:space="preserve">. Возможно потребуется неинвазивная вентиляция легких.</w:t>
      </w:r>
    </w:p>
    <w:p>
      <w:pPr>
        <w:jc w:val="center"/>
      </w:pPr>
      <w:r>
        <w:rPr>
          <w:rFonts w:ascii="Times New Roman" w:hAnsi="Times New Roman" w:cs="Times New Roman"/>
          <w:sz w:val="24"/>
          <w:sz-cs w:val="24"/>
          <w:b/>
        </w:rPr>
        <w:t xml:space="preserve">Рвота и/или невозможность принять кортикостероиды в течение 24 часов.</w:t>
      </w:r>
    </w:p>
    <w:p>
      <w:pPr>
        <w:jc w:val="both"/>
      </w:pPr>
      <w:r>
        <w:rPr>
          <w:rFonts w:ascii="Times New Roman" w:hAnsi="Times New Roman" w:cs="Times New Roman"/>
          <w:sz w:val="24"/>
          <w:sz-cs w:val="24"/>
        </w:rPr>
        <w:t xml:space="preserve">Свяжитесь со своим врачом или отвезите ребенка в приемное отделение стационара.</w:t>
      </w:r>
    </w:p>
    <w:p>
      <w:pPr>
        <w:jc w:val="both"/>
      </w:pPr>
      <w:r>
        <w:rPr>
          <w:rFonts w:ascii="Times New Roman" w:hAnsi="Times New Roman" w:cs="Times New Roman"/>
          <w:sz w:val="24"/>
          <w:sz-cs w:val="24"/>
        </w:rPr>
        <w:t xml:space="preserve">Эту ситуацию (как действовать при наступлении невозможности перрорального приема кортикостероидов) лучше заблаговременно обсудить с лечащим (наблюдающим) врачом. В случае неотложной помощи, объясните персоналу больницы, что  ребенок должен получать кортикостероиды. При необходимости провести внутривенную инъекцию кортикостекоидных препаратов, пока он не сможет снова принимать таблетированные формы. Покажите врачу следующие правила пересчёта дозировки препаратов: 6 мг дефлазакорта соответствует 5 мг преднизона. Напомните врачу, что в биохимическом анализе крови у вашего ребенка могут быть повышены АСТ и АЛТ (печёночные ферменты) – для пациентов с миопатией Дюшенна это является нормой.</w:t>
      </w:r>
    </w:p>
    <w:p>
      <w:pPr>
        <w:jc w:val="both"/>
      </w:pPr>
      <w:r>
        <w:rPr>
          <w:rFonts w:ascii="Times New Roman" w:hAnsi="Times New Roman" w:cs="Times New Roman"/>
          <w:sz w:val="24"/>
          <w:sz-cs w:val="24"/>
        </w:rPr>
        <w:t xml:space="preserve">Пациентам, принимающим кортикостероиды, нельзя делать перерыв в приеме препаратов более 24 часов. Также им может потребоваться более высокая (“ударная”) доза кортикостероидов в стрессовой для организма ситуации, такой, как тяжёлая болезнь, операция или травма.</w:t>
      </w:r>
    </w:p>
    <w:p>
      <w:pPr>
        <w:jc w:val="center"/>
      </w:pPr>
      <w:r>
        <w:rPr>
          <w:rFonts w:ascii="Times New Roman" w:hAnsi="Times New Roman" w:cs="Times New Roman"/>
          <w:sz w:val="24"/>
          <w:sz-cs w:val="24"/>
          <w:b/>
        </w:rPr>
        <w:t xml:space="preserve">Стоматологические вмешательства.</w:t>
      </w:r>
    </w:p>
    <w:p>
      <w:pPr>
        <w:jc w:val="both"/>
      </w:pPr>
      <w:r>
        <w:rPr>
          <w:rFonts w:ascii="Times New Roman" w:hAnsi="Times New Roman" w:cs="Times New Roman"/>
          <w:sz w:val="24"/>
          <w:sz-cs w:val="24"/>
        </w:rPr>
        <w:t xml:space="preserve">Стоматологические вмешательства в целом могут и должны быть выполнены с минимально возможным количеством анестезии, при этом с обеспечением максимально физического и эмоционального комфорта пациента.</w:t>
      </w:r>
    </w:p>
    <w:p>
      <w:pPr>
        <w:jc w:val="both"/>
      </w:pPr>
      <w:r>
        <w:rPr>
          <w:rFonts w:ascii="Times New Roman" w:hAnsi="Times New Roman" w:cs="Times New Roman"/>
          <w:sz w:val="24"/>
          <w:sz-cs w:val="24"/>
        </w:rPr>
        <w:t xml:space="preserve">Местные анестетики, закись азота и медицинский кислород безопасны для большинства пациентов с миопатией Дюшенна. Особенно для пациентов, находящихся на амбулаторном лечении с ненарушенной функцией легких (с нормальным дыханием).</w:t>
      </w:r>
    </w:p>
    <w:p>
      <w:pPr>
        <w:jc w:val="both"/>
      </w:pPr>
      <w:r>
        <w:rPr>
          <w:rFonts w:ascii="Times New Roman" w:hAnsi="Times New Roman" w:cs="Times New Roman"/>
          <w:sz w:val="24"/>
          <w:sz-cs w:val="24"/>
        </w:rPr>
        <w:t xml:space="preserve">Пациентам с МДД и легочной дисфункцией (аномальное дыхание) следует рассмотреть возможность получения стоматологической помощи c участием анестезиолога и применением общего наркоза в стационаре, оборудованном для интраоперационного мониторирования дыхательной функции и обладающем возможностью предоставления экстренной помощи при возникновении сердечных или легочных осложнений.</w:t>
      </w:r>
    </w:p>
    <w:p>
      <w:pPr>
        <w:jc w:val="center"/>
      </w:pPr>
      <w:r>
        <w:rPr>
          <w:rFonts w:ascii="Times New Roman" w:hAnsi="Times New Roman" w:cs="Times New Roman"/>
          <w:sz w:val="24"/>
          <w:sz-cs w:val="24"/>
          <w:b/>
        </w:rPr>
        <w:t xml:space="preserve">Лечение переломов ног.</w:t>
      </w:r>
    </w:p>
    <w:p>
      <w:pPr>
        <w:jc w:val="both"/>
      </w:pPr>
      <w:r>
        <w:rPr>
          <w:rFonts w:ascii="Times New Roman" w:hAnsi="Times New Roman" w:cs="Times New Roman"/>
          <w:sz w:val="24"/>
          <w:sz-cs w:val="24"/>
        </w:rPr>
        <w:t xml:space="preserve">Если ваш ребенок до перелома мог нормально ходить, спросите врача, можно ли провести операцию (осуществить внутреннюю фиксацию) вместо того, чтобы накладывать гипс (внешняя фиксация). Операция поможет сохранить мышечную ткань и ваш ребенок быстрее сможет снова начать ходить.</w:t>
      </w:r>
    </w:p>
    <w:p>
      <w:pPr>
        <w:jc w:val="both"/>
      </w:pPr>
      <w:r>
        <w:rPr>
          <w:rFonts w:ascii="Times New Roman" w:hAnsi="Times New Roman" w:cs="Times New Roman"/>
          <w:sz w:val="24"/>
          <w:sz-cs w:val="24"/>
        </w:rPr>
        <w:t xml:space="preserve">Если ваш ребенок часто дышит и/или у него есть неврологические симптомы (такие, как спутанность сознания) после перелома или травмы, врачам следует рассмотреть возможность возникновения синдрома жировой эмболии.</w:t>
      </w:r>
    </w:p>
    <w:p>
      <w:pPr>
        <w:jc w:val="center"/>
      </w:pPr>
      <w:r>
        <w:rPr>
          <w:rFonts w:ascii="Times New Roman" w:hAnsi="Times New Roman" w:cs="Times New Roman"/>
          <w:sz w:val="24"/>
          <w:sz-cs w:val="24"/>
          <w:b/>
        </w:rPr>
        <w:t xml:space="preserve">Синдром жировой эмболии после падения/перелома/травмы.</w:t>
      </w:r>
    </w:p>
    <w:p>
      <w:pPr>
        <w:jc w:val="both"/>
      </w:pPr>
      <w:r>
        <w:rPr>
          <w:rFonts w:ascii="Times New Roman" w:hAnsi="Times New Roman" w:cs="Times New Roman"/>
          <w:sz w:val="24"/>
          <w:sz-cs w:val="24"/>
        </w:rPr>
        <w:t xml:space="preserve">Крайне редкое состояние.</w:t>
      </w:r>
    </w:p>
    <w:p>
      <w:pPr>
        <w:jc w:val="both"/>
      </w:pPr>
      <w:r>
        <w:rPr>
          <w:rFonts w:ascii="Times" w:hAnsi="Times" w:cs="Times"/>
          <w:sz w:val="24"/>
          <w:sz-cs w:val="24"/>
          <w:color w:val="333333"/>
        </w:rPr>
        <w:t xml:space="preserve">Синдром жировой эмболии является одним из тяжелейших осложнений ряда неотложных состояний. При его развитии чаще всего имеют место разнообразные малоспецифичные симптомы, обусловленные нарушениями кровообращения в различных органах. Триадой симптоматических проявлений считаются нарушения дыхательной функции, изменения сознания и петехиальная сыпь. </w:t>
      </w:r>
    </w:p>
    <w:p>
      <w:pPr>
        <w:jc w:val="both"/>
      </w:pPr>
      <w:r>
        <w:rPr>
          <w:rFonts w:ascii="Times New Roman" w:hAnsi="Times New Roman" w:cs="Times New Roman"/>
          <w:sz w:val="24"/>
          <w:sz-cs w:val="24"/>
        </w:rPr>
        <w:t xml:space="preserve">http://www.critical.ru/emergency/page.php?chapter=2010_03&amp;ref=08&amp;what=article</w:t>
      </w:r>
    </w:p>
    <w:p>
      <w:pPr>
        <w:jc w:val="both"/>
      </w:pPr>
      <w:r>
        <w:rPr>
          <w:rFonts w:ascii="Times New Roman" w:hAnsi="Times New Roman" w:cs="Times New Roman"/>
          <w:sz w:val="24"/>
          <w:sz-cs w:val="24"/>
        </w:rPr>
        <w:t xml:space="preserve">Происходит в результате попадания частиц жира в кровоток, что вызывает нарушение подачи кислорода к мозгу и/или сердцу.</w:t>
      </w:r>
    </w:p>
    <w:p>
      <w:pPr>
        <w:jc w:val="both"/>
      </w:pPr>
      <w:r>
        <w:rPr>
          <w:rFonts w:ascii="Times New Roman" w:hAnsi="Times New Roman" w:cs="Times New Roman"/>
          <w:sz w:val="24"/>
          <w:sz-cs w:val="24"/>
        </w:rPr>
        <w:t xml:space="preserve">Обычно происходит после перелома длинных костей/тазовых переломов или травм, крайне редко – после ортопедических операций.</w:t>
      </w:r>
    </w:p>
    <w:p>
      <w:pPr>
        <w:jc w:val="both"/>
      </w:pPr>
      <w:r>
        <w:rPr>
          <w:rFonts w:ascii="Times New Roman" w:hAnsi="Times New Roman" w:cs="Times New Roman"/>
          <w:sz w:val="24"/>
          <w:sz-cs w:val="24"/>
        </w:rPr>
        <w:t xml:space="preserve">Следует проводить дифференциальную диагностику, если у ребенка появляется одышка и/или неврологическая симптоматика после падения/перелома/травмы.</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Перевод  и адаптация статьи «МойМио» фонд. </w:t>
      </w:r>
    </w:p>
    <w:p>
      <w:pPr>
        <w:jc w:val="both"/>
      </w:pPr>
      <w:r>
        <w:rPr>
          <w:rFonts w:ascii="Times New Roman" w:hAnsi="Times New Roman" w:cs="Times New Roman"/>
          <w:sz w:val="24"/>
          <w:sz-cs w:val="24"/>
        </w:rPr>
        <w:t xml:space="preserve">Источник http://www.parentprojectmd.org/site/PageServer?pagename=Care_emergency</w:t>
      </w:r>
    </w:p>
    <w:p>
      <w:pPr>
        <w:jc w:val="both"/>
      </w:pPr>
      <w:r>
        <w:rPr>
          <w:rFonts w:ascii="Times New Roman" w:hAnsi="Times New Roman" w:cs="Times New Roman"/>
          <w:sz w:val="24"/>
          <w:sz-cs w:val="24"/>
        </w:rPr>
        <w:t xml:space="preserve"/>
      </w:r>
    </w:p>
    <w:sectPr>
      <w:pgSz w:w="11900" w:h="16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Ayre</dc:creator>
</cp:coreProperties>
</file>

<file path=docProps/meta.xml><?xml version="1.0" encoding="utf-8"?>
<meta xmlns="http://schemas.apple.com/cocoa/2006/metadata">
  <generator>CocoaOOXMLWriter/1265.21</generator>
</meta>
</file>